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29D" w:rsidRDefault="00DD729D" w:rsidP="00662057">
      <w:pPr>
        <w:jc w:val="center"/>
        <w:rPr>
          <w:b/>
          <w:sz w:val="28"/>
          <w:szCs w:val="28"/>
          <w:u w:val="single"/>
        </w:rPr>
      </w:pPr>
      <w:r>
        <w:rPr>
          <w:b/>
          <w:noProof/>
          <w:sz w:val="28"/>
          <w:szCs w:val="28"/>
          <w:u w:val="single"/>
          <w:lang w:eastAsia="en-GB"/>
        </w:rPr>
        <w:drawing>
          <wp:anchor distT="0" distB="0" distL="114300" distR="114300" simplePos="0" relativeHeight="251658240" behindDoc="0" locked="0" layoutInCell="1" allowOverlap="1">
            <wp:simplePos x="0" y="0"/>
            <wp:positionH relativeFrom="page">
              <wp:posOffset>4095750</wp:posOffset>
            </wp:positionH>
            <wp:positionV relativeFrom="page">
              <wp:posOffset>85725</wp:posOffset>
            </wp:positionV>
            <wp:extent cx="3450590" cy="981710"/>
            <wp:effectExtent l="0" t="0" r="0" b="8890"/>
            <wp:wrapSquare wrapText="bothSides"/>
            <wp:docPr id="1" name="Picture 1"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0590" cy="981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729D" w:rsidRPr="003164F1" w:rsidRDefault="00DD729D" w:rsidP="00662057">
      <w:pPr>
        <w:jc w:val="center"/>
        <w:rPr>
          <w:b/>
          <w:u w:val="single"/>
        </w:rPr>
      </w:pPr>
    </w:p>
    <w:p w:rsidR="00C90C0D" w:rsidRDefault="00662057" w:rsidP="00662057">
      <w:pPr>
        <w:jc w:val="center"/>
        <w:rPr>
          <w:b/>
          <w:sz w:val="28"/>
          <w:szCs w:val="28"/>
          <w:u w:val="single"/>
        </w:rPr>
      </w:pPr>
      <w:r w:rsidRPr="00662057">
        <w:rPr>
          <w:b/>
          <w:sz w:val="28"/>
          <w:szCs w:val="28"/>
          <w:u w:val="single"/>
        </w:rPr>
        <w:t>Blue Badge scheme</w:t>
      </w:r>
      <w:r w:rsidR="008C4AC0">
        <w:rPr>
          <w:b/>
          <w:sz w:val="28"/>
          <w:szCs w:val="28"/>
          <w:u w:val="single"/>
        </w:rPr>
        <w:t xml:space="preserve"> – Non-physical (‘hidden’) disabilities</w:t>
      </w:r>
    </w:p>
    <w:p w:rsidR="00662057" w:rsidRPr="003164F1" w:rsidRDefault="00662057" w:rsidP="005072E1">
      <w:pPr>
        <w:rPr>
          <w:b/>
          <w:u w:val="single"/>
        </w:rPr>
      </w:pPr>
    </w:p>
    <w:p w:rsidR="005072E1" w:rsidRDefault="005072E1" w:rsidP="00662057">
      <w:pPr>
        <w:rPr>
          <w:u w:val="single"/>
        </w:rPr>
      </w:pPr>
    </w:p>
    <w:p w:rsidR="00F312AA" w:rsidRDefault="00F312AA" w:rsidP="00662057">
      <w:r>
        <w:t>Th</w:t>
      </w:r>
      <w:r w:rsidR="003164F1">
        <w:t>e</w:t>
      </w:r>
      <w:r>
        <w:t xml:space="preserve"> aim of this document is </w:t>
      </w:r>
      <w:r w:rsidR="00D87D9F">
        <w:t xml:space="preserve">to </w:t>
      </w:r>
      <w:r>
        <w:t xml:space="preserve">try and explain the new qualifying criteria for a disabled blue badge in a more condensed and easier to understand format than the full guidance. </w:t>
      </w:r>
    </w:p>
    <w:p w:rsidR="00F312AA" w:rsidRDefault="00F312AA" w:rsidP="00662057"/>
    <w:p w:rsidR="00F312AA" w:rsidRDefault="00F312AA" w:rsidP="00662057">
      <w:r>
        <w:t>The full guidance can be found at:</w:t>
      </w:r>
      <w:r w:rsidR="00DD729D">
        <w:t xml:space="preserve"> </w:t>
      </w:r>
      <w:hyperlink r:id="rId8" w:history="1">
        <w:r w:rsidR="00DD729D" w:rsidRPr="007466F2">
          <w:rPr>
            <w:rStyle w:val="Hyperlink"/>
          </w:rPr>
          <w:t>https://www.gov.uk/government/publications/the-blue-badge-scheme-local-authority-guidance-england</w:t>
        </w:r>
      </w:hyperlink>
      <w:r w:rsidR="00DD729D">
        <w:t xml:space="preserve"> </w:t>
      </w:r>
    </w:p>
    <w:p w:rsidR="005072E1" w:rsidRPr="00F312AA" w:rsidRDefault="005072E1" w:rsidP="00662057"/>
    <w:p w:rsidR="005072E1" w:rsidRPr="005072E1" w:rsidRDefault="005072E1" w:rsidP="005072E1">
      <w:pPr>
        <w:rPr>
          <w:b/>
          <w:color w:val="FF0000"/>
        </w:rPr>
      </w:pPr>
      <w:r w:rsidRPr="005072E1">
        <w:rPr>
          <w:b/>
          <w:color w:val="FF0000"/>
        </w:rPr>
        <w:t>The extended criteria comes in to force on 30 August 2019.</w:t>
      </w:r>
    </w:p>
    <w:p w:rsidR="005072E1" w:rsidRPr="005072E1" w:rsidRDefault="005072E1" w:rsidP="005072E1">
      <w:r>
        <w:t xml:space="preserve">Applicants will not be able to apply before this date. </w:t>
      </w:r>
    </w:p>
    <w:p w:rsidR="00F312AA" w:rsidRDefault="00F312AA" w:rsidP="00662057">
      <w:pPr>
        <w:rPr>
          <w:u w:val="single"/>
        </w:rPr>
      </w:pPr>
    </w:p>
    <w:p w:rsidR="00662057" w:rsidRPr="00662057" w:rsidRDefault="00662057" w:rsidP="00662057">
      <w:pPr>
        <w:rPr>
          <w:u w:val="single"/>
        </w:rPr>
      </w:pPr>
      <w:r w:rsidRPr="00662057">
        <w:rPr>
          <w:u w:val="single"/>
        </w:rPr>
        <w:t>Background</w:t>
      </w:r>
    </w:p>
    <w:p w:rsidR="00662057" w:rsidRDefault="00662057" w:rsidP="00662057"/>
    <w:p w:rsidR="00662057" w:rsidRDefault="00833AD5" w:rsidP="00662057">
      <w:r>
        <w:t>Following extensive consultation in 2018, t</w:t>
      </w:r>
      <w:r w:rsidR="00662057">
        <w:t xml:space="preserve">he Department for Transport </w:t>
      </w:r>
      <w:r>
        <w:t xml:space="preserve">has extended the eligibility criteria for the Blue Badge scheme to also include criteria for people with non-physical (‘hidden’) disabilities. </w:t>
      </w:r>
    </w:p>
    <w:p w:rsidR="00BB14A6" w:rsidRDefault="00BB14A6" w:rsidP="00662057"/>
    <w:p w:rsidR="00BB14A6" w:rsidRDefault="00406634" w:rsidP="00662057">
      <w:r>
        <w:t xml:space="preserve">This includes, but is not limited to, people with learning difficulties, mental health conditions and hidden disabilities such as autism. </w:t>
      </w:r>
    </w:p>
    <w:p w:rsidR="00110F1F" w:rsidRDefault="00110F1F" w:rsidP="00662057"/>
    <w:p w:rsidR="00406634" w:rsidRDefault="00110F1F" w:rsidP="00662057">
      <w:r>
        <w:t xml:space="preserve">There are two ways an applicant can be awarded a blue badge; </w:t>
      </w:r>
    </w:p>
    <w:p w:rsidR="00406634" w:rsidRDefault="00110F1F" w:rsidP="00662057">
      <w:r>
        <w:t xml:space="preserve">1) Eligible without further assessment or </w:t>
      </w:r>
    </w:p>
    <w:p w:rsidR="00110F1F" w:rsidRDefault="00110F1F" w:rsidP="00662057">
      <w:r>
        <w:t>2) Eligible subject to further assessment</w:t>
      </w:r>
    </w:p>
    <w:p w:rsidR="00110F1F" w:rsidRDefault="00110F1F" w:rsidP="00662057"/>
    <w:p w:rsidR="00BB14A6" w:rsidRDefault="00110F1F" w:rsidP="00662057">
      <w:pPr>
        <w:rPr>
          <w:u w:val="single"/>
        </w:rPr>
      </w:pPr>
      <w:r>
        <w:rPr>
          <w:u w:val="single"/>
        </w:rPr>
        <w:t>Eligible without further assessment</w:t>
      </w:r>
    </w:p>
    <w:p w:rsidR="00110F1F" w:rsidRDefault="00110F1F" w:rsidP="00662057">
      <w:pPr>
        <w:rPr>
          <w:u w:val="single"/>
        </w:rPr>
      </w:pPr>
    </w:p>
    <w:p w:rsidR="00110F1F" w:rsidRDefault="00406634" w:rsidP="00662057">
      <w:r>
        <w:t>The applicant only needs to provide proof they are in receipt of one of the</w:t>
      </w:r>
      <w:r w:rsidR="008C4AC0">
        <w:t xml:space="preserve"> following</w:t>
      </w:r>
      <w:r>
        <w:t xml:space="preserve"> benefits or have a condition listed below. No further proof of disability would be required. </w:t>
      </w:r>
      <w:r w:rsidR="00110F1F">
        <w:t>The existing automatic criteria all still apply with one addition;</w:t>
      </w:r>
    </w:p>
    <w:p w:rsidR="00110F1F" w:rsidRDefault="00110F1F" w:rsidP="00662057"/>
    <w:p w:rsidR="00110F1F" w:rsidRDefault="00110F1F" w:rsidP="00110F1F">
      <w:pPr>
        <w:pStyle w:val="ListParagraph"/>
        <w:numPr>
          <w:ilvl w:val="0"/>
          <w:numId w:val="1"/>
        </w:numPr>
      </w:pPr>
      <w:r>
        <w:t>Mobility Component of Personal Independence Payment (PIP) – 8 points or more</w:t>
      </w:r>
      <w:r w:rsidR="00270020">
        <w:t xml:space="preserve"> under the “moving around” descriptor</w:t>
      </w:r>
    </w:p>
    <w:p w:rsidR="00110F1F" w:rsidRDefault="00110F1F" w:rsidP="00110F1F">
      <w:pPr>
        <w:pStyle w:val="ListParagraph"/>
        <w:numPr>
          <w:ilvl w:val="0"/>
          <w:numId w:val="1"/>
        </w:numPr>
      </w:pPr>
      <w:r>
        <w:t>Disability living allowance (DLA) – Higher Rate Mobility component</w:t>
      </w:r>
    </w:p>
    <w:p w:rsidR="00110F1F" w:rsidRDefault="00110F1F" w:rsidP="00110F1F">
      <w:pPr>
        <w:pStyle w:val="ListParagraph"/>
        <w:numPr>
          <w:ilvl w:val="0"/>
          <w:numId w:val="1"/>
        </w:numPr>
      </w:pPr>
      <w:r>
        <w:t>Have been awarded a lump sum benefit from the Armed Forces Compensation Scheme</w:t>
      </w:r>
    </w:p>
    <w:p w:rsidR="00110F1F" w:rsidRDefault="00110F1F" w:rsidP="00110F1F">
      <w:pPr>
        <w:pStyle w:val="ListParagraph"/>
        <w:numPr>
          <w:ilvl w:val="0"/>
          <w:numId w:val="1"/>
        </w:numPr>
      </w:pPr>
      <w:r>
        <w:t>Receive a War Pensioners’ Mobility Supplement</w:t>
      </w:r>
    </w:p>
    <w:p w:rsidR="00110F1F" w:rsidRDefault="00110F1F" w:rsidP="00110F1F">
      <w:pPr>
        <w:pStyle w:val="ListParagraph"/>
        <w:numPr>
          <w:ilvl w:val="0"/>
          <w:numId w:val="1"/>
        </w:numPr>
      </w:pPr>
      <w:r>
        <w:t>Registered blind or severely sight impaired</w:t>
      </w:r>
    </w:p>
    <w:p w:rsidR="00110F1F" w:rsidRPr="00575A01" w:rsidRDefault="00270020" w:rsidP="00110F1F">
      <w:pPr>
        <w:pStyle w:val="ListParagraph"/>
        <w:numPr>
          <w:ilvl w:val="0"/>
          <w:numId w:val="1"/>
        </w:numPr>
        <w:rPr>
          <w:color w:val="FF0000"/>
        </w:rPr>
      </w:pPr>
      <w:r w:rsidRPr="00575A01">
        <w:rPr>
          <w:color w:val="FF0000"/>
        </w:rPr>
        <w:t>Mobility Component of Personal Independence Payment (PIP) – 10 points specifically for Descriptor E under the “Planning and following journeys” activity</w:t>
      </w:r>
    </w:p>
    <w:p w:rsidR="00270020" w:rsidRDefault="00270020" w:rsidP="00270020">
      <w:pPr>
        <w:ind w:left="360"/>
      </w:pPr>
    </w:p>
    <w:p w:rsidR="00270020" w:rsidRDefault="00270020" w:rsidP="00270020">
      <w:pPr>
        <w:ind w:left="360"/>
      </w:pPr>
      <w:r w:rsidRPr="00575A01">
        <w:rPr>
          <w:b/>
        </w:rPr>
        <w:t>Please be aware that</w:t>
      </w:r>
      <w:r>
        <w:t xml:space="preserve"> </w:t>
      </w:r>
      <w:r w:rsidRPr="00575A01">
        <w:rPr>
          <w:b/>
        </w:rPr>
        <w:t>Descriptors D and F of PIP will not qualify an applicant automatically</w:t>
      </w:r>
      <w:r>
        <w:t xml:space="preserve"> even though they have been awarded 10 or 12 points respectively. The applicant would need to apply under “subject to further assessment” </w:t>
      </w:r>
    </w:p>
    <w:p w:rsidR="00270020" w:rsidRDefault="00270020" w:rsidP="00270020">
      <w:pPr>
        <w:ind w:left="360"/>
      </w:pPr>
    </w:p>
    <w:p w:rsidR="009C6CCD" w:rsidRDefault="00270020" w:rsidP="009C6CCD">
      <w:pPr>
        <w:ind w:left="360"/>
      </w:pPr>
      <w:r>
        <w:t xml:space="preserve">Descriptor D – </w:t>
      </w:r>
      <w:r w:rsidR="009C6CCD">
        <w:t>Cannot follow the route of a</w:t>
      </w:r>
      <w:r w:rsidR="00406634">
        <w:t>n</w:t>
      </w:r>
      <w:r w:rsidR="009C6CCD">
        <w:t xml:space="preserve"> unfamiliar journey without another person, an assistance dog or an orientation aid. </w:t>
      </w:r>
      <w:r w:rsidR="009C6CCD" w:rsidRPr="009C6CCD">
        <w:rPr>
          <w:b/>
        </w:rPr>
        <w:t>10 points</w:t>
      </w:r>
    </w:p>
    <w:p w:rsidR="00270020" w:rsidRDefault="00270020" w:rsidP="00270020">
      <w:pPr>
        <w:ind w:left="360"/>
      </w:pPr>
    </w:p>
    <w:p w:rsidR="00270020" w:rsidRDefault="00270020" w:rsidP="00270020">
      <w:pPr>
        <w:ind w:left="360"/>
      </w:pPr>
      <w:r>
        <w:t xml:space="preserve">Descriptor F – Cannot follow the route of a familiar journey without another person, an assistance dog or </w:t>
      </w:r>
      <w:r w:rsidR="009C6CCD">
        <w:t xml:space="preserve">an orientation aid. </w:t>
      </w:r>
      <w:r w:rsidR="009C6CCD" w:rsidRPr="009C6CCD">
        <w:rPr>
          <w:b/>
        </w:rPr>
        <w:t>12 points</w:t>
      </w:r>
    </w:p>
    <w:p w:rsidR="009C6CCD" w:rsidRDefault="009C6CCD" w:rsidP="009C6CCD">
      <w:pPr>
        <w:rPr>
          <w:u w:val="single"/>
        </w:rPr>
      </w:pPr>
      <w:r>
        <w:rPr>
          <w:u w:val="single"/>
        </w:rPr>
        <w:lastRenderedPageBreak/>
        <w:t>Eligible subject to further assessment</w:t>
      </w:r>
    </w:p>
    <w:p w:rsidR="009C6CCD" w:rsidRDefault="009C6CCD" w:rsidP="009C6CCD"/>
    <w:p w:rsidR="009C6CCD" w:rsidRDefault="009C6CCD" w:rsidP="009C6CCD">
      <w:r w:rsidRPr="009C6CCD">
        <w:rPr>
          <w:b/>
        </w:rPr>
        <w:t xml:space="preserve">Important </w:t>
      </w:r>
      <w:r>
        <w:t xml:space="preserve">– </w:t>
      </w:r>
      <w:r w:rsidRPr="009C6CCD">
        <w:rPr>
          <w:b/>
        </w:rPr>
        <w:t>The applicant must have an enduring and substantial disability</w:t>
      </w:r>
      <w:r>
        <w:t xml:space="preserve"> which causes them, during the course of a journey, to:</w:t>
      </w:r>
    </w:p>
    <w:p w:rsidR="009C6CCD" w:rsidRDefault="009C6CCD" w:rsidP="009C6CCD"/>
    <w:p w:rsidR="009C6CCD" w:rsidRDefault="009C6CCD" w:rsidP="009C6CCD">
      <w:pPr>
        <w:pStyle w:val="ListParagraph"/>
        <w:numPr>
          <w:ilvl w:val="0"/>
          <w:numId w:val="2"/>
        </w:numPr>
      </w:pPr>
      <w:r>
        <w:t>Be unable to walk</w:t>
      </w:r>
    </w:p>
    <w:p w:rsidR="009C6CCD" w:rsidRPr="00575A01" w:rsidRDefault="009C6CCD" w:rsidP="009C6CCD">
      <w:pPr>
        <w:pStyle w:val="ListParagraph"/>
        <w:numPr>
          <w:ilvl w:val="0"/>
          <w:numId w:val="2"/>
        </w:numPr>
        <w:rPr>
          <w:color w:val="FF0000"/>
        </w:rPr>
      </w:pPr>
      <w:r w:rsidRPr="00575A01">
        <w:rPr>
          <w:color w:val="FF0000"/>
        </w:rPr>
        <w:t>Experience very considerable difficulty whilst walking, which may include very considerable psychological distress</w:t>
      </w:r>
    </w:p>
    <w:p w:rsidR="009C6CCD" w:rsidRPr="00575A01" w:rsidRDefault="009C6CCD" w:rsidP="009C6CCD">
      <w:pPr>
        <w:pStyle w:val="ListParagraph"/>
        <w:numPr>
          <w:ilvl w:val="0"/>
          <w:numId w:val="2"/>
        </w:numPr>
        <w:rPr>
          <w:color w:val="FF0000"/>
        </w:rPr>
      </w:pPr>
      <w:r w:rsidRPr="00575A01">
        <w:rPr>
          <w:color w:val="FF0000"/>
        </w:rPr>
        <w:t>Be at risk of serious harm when walking; or pose, when walking, a risk of serious harm to any other person</w:t>
      </w:r>
    </w:p>
    <w:p w:rsidR="009C6CCD" w:rsidRDefault="009C6CCD" w:rsidP="009C6CCD"/>
    <w:p w:rsidR="009C6CCD" w:rsidRDefault="009C6CCD" w:rsidP="009C6CCD">
      <w:r>
        <w:t xml:space="preserve">‘Enduring’ – is defined as; A disability the applicant will experience for </w:t>
      </w:r>
      <w:r w:rsidR="00575A01">
        <w:t xml:space="preserve">a period of </w:t>
      </w:r>
      <w:r>
        <w:t>at least 3 years.</w:t>
      </w:r>
    </w:p>
    <w:p w:rsidR="005152D0" w:rsidRDefault="005152D0" w:rsidP="009C6CCD"/>
    <w:p w:rsidR="005152D0" w:rsidRDefault="00575A01" w:rsidP="009C6CCD">
      <w:r>
        <w:t xml:space="preserve">Applicants with non-physical (‘hidden’) disabilities may qualify under one of the two highlight criteria above. </w:t>
      </w:r>
    </w:p>
    <w:p w:rsidR="00575A01" w:rsidRDefault="00575A01" w:rsidP="009C6CCD"/>
    <w:p w:rsidR="00575A01" w:rsidRPr="00575A01" w:rsidRDefault="00575A01" w:rsidP="00575A01">
      <w:pPr>
        <w:pStyle w:val="ListParagraph"/>
        <w:numPr>
          <w:ilvl w:val="0"/>
          <w:numId w:val="3"/>
        </w:numPr>
        <w:rPr>
          <w:b/>
        </w:rPr>
      </w:pPr>
      <w:r w:rsidRPr="00575A01">
        <w:rPr>
          <w:b/>
        </w:rPr>
        <w:t>Experience very considerable difficulty whilst walking, which may include very considerable psychological distress</w:t>
      </w:r>
    </w:p>
    <w:p w:rsidR="00575A01" w:rsidRDefault="00575A01" w:rsidP="00575A01">
      <w:pPr>
        <w:rPr>
          <w:b/>
        </w:rPr>
      </w:pPr>
    </w:p>
    <w:p w:rsidR="00575A01" w:rsidRDefault="00467BB5" w:rsidP="00575A01">
      <w:r>
        <w:t>Where applicable, a</w:t>
      </w:r>
      <w:r w:rsidR="00575A01">
        <w:t xml:space="preserve">n applicant would need </w:t>
      </w:r>
      <w:r>
        <w:t>to:-</w:t>
      </w:r>
    </w:p>
    <w:p w:rsidR="00467BB5" w:rsidRDefault="00467BB5" w:rsidP="00575A01"/>
    <w:p w:rsidR="00467BB5" w:rsidRDefault="00467BB5" w:rsidP="00467BB5">
      <w:pPr>
        <w:pStyle w:val="ListParagraph"/>
        <w:numPr>
          <w:ilvl w:val="0"/>
          <w:numId w:val="4"/>
        </w:numPr>
      </w:pPr>
      <w:r>
        <w:t>Explain how their disability affects them whilst walking</w:t>
      </w:r>
    </w:p>
    <w:p w:rsidR="00467BB5" w:rsidRDefault="00467BB5" w:rsidP="00467BB5">
      <w:pPr>
        <w:pStyle w:val="ListParagraph"/>
      </w:pPr>
    </w:p>
    <w:p w:rsidR="00467BB5" w:rsidRDefault="00467BB5" w:rsidP="00467BB5">
      <w:pPr>
        <w:pStyle w:val="Default"/>
        <w:numPr>
          <w:ilvl w:val="0"/>
          <w:numId w:val="4"/>
        </w:numPr>
        <w:rPr>
          <w:rFonts w:asciiTheme="minorHAnsi" w:hAnsiTheme="minorHAnsi" w:cstheme="minorHAnsi"/>
        </w:rPr>
      </w:pPr>
      <w:r w:rsidRPr="00467BB5">
        <w:rPr>
          <w:rFonts w:asciiTheme="minorHAnsi" w:hAnsiTheme="minorHAnsi" w:cstheme="minorHAnsi"/>
        </w:rPr>
        <w:t xml:space="preserve">Identity any coping strategies they use, and how effectively these work in practice </w:t>
      </w:r>
    </w:p>
    <w:p w:rsidR="00467BB5" w:rsidRPr="00467BB5" w:rsidRDefault="00467BB5" w:rsidP="00467BB5">
      <w:pPr>
        <w:pStyle w:val="Default"/>
        <w:ind w:left="720"/>
        <w:rPr>
          <w:rFonts w:asciiTheme="minorHAnsi" w:hAnsiTheme="minorHAnsi" w:cstheme="minorHAnsi"/>
        </w:rPr>
      </w:pPr>
    </w:p>
    <w:p w:rsidR="00467BB5" w:rsidRPr="00467BB5" w:rsidRDefault="00467BB5" w:rsidP="00467BB5">
      <w:pPr>
        <w:numPr>
          <w:ilvl w:val="0"/>
          <w:numId w:val="4"/>
        </w:numPr>
        <w:autoSpaceDE w:val="0"/>
        <w:autoSpaceDN w:val="0"/>
        <w:adjustRightInd w:val="0"/>
        <w:rPr>
          <w:rFonts w:cstheme="minorHAnsi"/>
          <w:color w:val="000000"/>
        </w:rPr>
      </w:pPr>
      <w:r w:rsidRPr="00467BB5">
        <w:rPr>
          <w:rFonts w:cstheme="minorHAnsi"/>
          <w:color w:val="000000"/>
        </w:rPr>
        <w:t xml:space="preserve">Document any treatment or medication they receive to help them manage their condition </w:t>
      </w:r>
    </w:p>
    <w:p w:rsidR="00467BB5" w:rsidRPr="00467BB5" w:rsidRDefault="00467BB5" w:rsidP="00467BB5">
      <w:pPr>
        <w:autoSpaceDE w:val="0"/>
        <w:autoSpaceDN w:val="0"/>
        <w:adjustRightInd w:val="0"/>
        <w:rPr>
          <w:rFonts w:cstheme="minorHAnsi"/>
          <w:color w:val="000000"/>
        </w:rPr>
      </w:pPr>
    </w:p>
    <w:p w:rsidR="00467BB5" w:rsidRPr="00467BB5" w:rsidRDefault="00467BB5" w:rsidP="00467BB5">
      <w:pPr>
        <w:numPr>
          <w:ilvl w:val="0"/>
          <w:numId w:val="4"/>
        </w:numPr>
        <w:autoSpaceDE w:val="0"/>
        <w:autoSpaceDN w:val="0"/>
        <w:adjustRightInd w:val="0"/>
        <w:rPr>
          <w:rFonts w:cstheme="minorHAnsi"/>
          <w:color w:val="000000"/>
        </w:rPr>
      </w:pPr>
      <w:r w:rsidRPr="00467BB5">
        <w:rPr>
          <w:rFonts w:cstheme="minorHAnsi"/>
          <w:color w:val="000000"/>
        </w:rPr>
        <w:t xml:space="preserve">Identify the names and contact details of any health or social care practitioners involved in their diagnosis and ongoing treatment </w:t>
      </w:r>
    </w:p>
    <w:p w:rsidR="00467BB5" w:rsidRPr="00467BB5" w:rsidRDefault="00467BB5" w:rsidP="00467BB5">
      <w:pPr>
        <w:autoSpaceDE w:val="0"/>
        <w:autoSpaceDN w:val="0"/>
        <w:adjustRightInd w:val="0"/>
        <w:rPr>
          <w:rFonts w:cstheme="minorHAnsi"/>
          <w:color w:val="000000"/>
        </w:rPr>
      </w:pPr>
    </w:p>
    <w:p w:rsidR="00467BB5" w:rsidRPr="00467BB5" w:rsidRDefault="00467BB5" w:rsidP="00467BB5">
      <w:pPr>
        <w:numPr>
          <w:ilvl w:val="0"/>
          <w:numId w:val="4"/>
        </w:numPr>
        <w:autoSpaceDE w:val="0"/>
        <w:autoSpaceDN w:val="0"/>
        <w:adjustRightInd w:val="0"/>
        <w:rPr>
          <w:rFonts w:cstheme="minorHAnsi"/>
          <w:color w:val="000000"/>
        </w:rPr>
      </w:pPr>
      <w:r w:rsidRPr="00467BB5">
        <w:rPr>
          <w:rFonts w:cstheme="minorHAnsi"/>
          <w:color w:val="000000"/>
        </w:rPr>
        <w:t xml:space="preserve">Provide any relevant supporting evidence, for example such as: diagnosis letters, care plans, patient summaries, education health and care (EHC) plans or disability benefits </w:t>
      </w:r>
    </w:p>
    <w:p w:rsidR="00467BB5" w:rsidRPr="00467BB5" w:rsidRDefault="00467BB5" w:rsidP="00467BB5">
      <w:pPr>
        <w:autoSpaceDE w:val="0"/>
        <w:autoSpaceDN w:val="0"/>
        <w:adjustRightInd w:val="0"/>
        <w:rPr>
          <w:rFonts w:cstheme="minorHAnsi"/>
          <w:color w:val="000000"/>
        </w:rPr>
      </w:pPr>
    </w:p>
    <w:p w:rsidR="00467BB5" w:rsidRPr="00467BB5" w:rsidRDefault="00467BB5" w:rsidP="00467BB5">
      <w:pPr>
        <w:numPr>
          <w:ilvl w:val="0"/>
          <w:numId w:val="4"/>
        </w:numPr>
        <w:autoSpaceDE w:val="0"/>
        <w:autoSpaceDN w:val="0"/>
        <w:adjustRightInd w:val="0"/>
        <w:rPr>
          <w:rFonts w:cstheme="minorHAnsi"/>
          <w:color w:val="000000"/>
        </w:rPr>
      </w:pPr>
      <w:r w:rsidRPr="00467BB5">
        <w:rPr>
          <w:rFonts w:cstheme="minorHAnsi"/>
          <w:color w:val="000000"/>
        </w:rPr>
        <w:t xml:space="preserve">Explain how they experience very severe or overwhelming anxiety (e.g. through hypervigilance) </w:t>
      </w:r>
    </w:p>
    <w:p w:rsidR="00467BB5" w:rsidRPr="00467BB5" w:rsidRDefault="00467BB5" w:rsidP="00467BB5">
      <w:pPr>
        <w:autoSpaceDE w:val="0"/>
        <w:autoSpaceDN w:val="0"/>
        <w:adjustRightInd w:val="0"/>
        <w:rPr>
          <w:rFonts w:cstheme="minorHAnsi"/>
          <w:color w:val="000000"/>
        </w:rPr>
      </w:pPr>
    </w:p>
    <w:p w:rsidR="00467BB5" w:rsidRPr="00467BB5" w:rsidRDefault="00467BB5" w:rsidP="00467BB5">
      <w:pPr>
        <w:numPr>
          <w:ilvl w:val="0"/>
          <w:numId w:val="4"/>
        </w:numPr>
        <w:autoSpaceDE w:val="0"/>
        <w:autoSpaceDN w:val="0"/>
        <w:adjustRightInd w:val="0"/>
        <w:rPr>
          <w:rFonts w:cstheme="minorHAnsi"/>
          <w:color w:val="000000"/>
        </w:rPr>
      </w:pPr>
      <w:r w:rsidRPr="00467BB5">
        <w:rPr>
          <w:rFonts w:cstheme="minorHAnsi"/>
          <w:color w:val="000000"/>
        </w:rPr>
        <w:t>Explain how they experience an overwhelming sense of fear of public/open/busy spaces</w:t>
      </w:r>
    </w:p>
    <w:p w:rsidR="00467BB5" w:rsidRPr="00467BB5" w:rsidRDefault="00467BB5" w:rsidP="00467BB5">
      <w:pPr>
        <w:autoSpaceDE w:val="0"/>
        <w:autoSpaceDN w:val="0"/>
        <w:adjustRightInd w:val="0"/>
        <w:rPr>
          <w:rFonts w:cstheme="minorHAnsi"/>
          <w:color w:val="000000"/>
        </w:rPr>
      </w:pPr>
    </w:p>
    <w:p w:rsidR="00467BB5" w:rsidRPr="00467BB5" w:rsidRDefault="00467BB5" w:rsidP="00467BB5">
      <w:pPr>
        <w:numPr>
          <w:ilvl w:val="0"/>
          <w:numId w:val="4"/>
        </w:numPr>
        <w:autoSpaceDE w:val="0"/>
        <w:autoSpaceDN w:val="0"/>
        <w:adjustRightInd w:val="0"/>
        <w:rPr>
          <w:rFonts w:cstheme="minorHAnsi"/>
          <w:color w:val="000000"/>
        </w:rPr>
      </w:pPr>
      <w:r w:rsidRPr="00467BB5">
        <w:rPr>
          <w:rFonts w:cstheme="minorHAnsi"/>
          <w:color w:val="000000"/>
        </w:rPr>
        <w:t xml:space="preserve">Explain why they avoid some/all types of journeys due to the kinds of experiences listed above </w:t>
      </w:r>
    </w:p>
    <w:p w:rsidR="00467BB5" w:rsidRDefault="00467BB5" w:rsidP="00467BB5">
      <w:pPr>
        <w:pStyle w:val="ListParagraph"/>
        <w:rPr>
          <w:b/>
        </w:rPr>
      </w:pPr>
    </w:p>
    <w:p w:rsidR="008C4AC0" w:rsidRDefault="008C4AC0" w:rsidP="00467BB5">
      <w:pPr>
        <w:pStyle w:val="ListParagraph"/>
        <w:rPr>
          <w:b/>
        </w:rPr>
      </w:pPr>
    </w:p>
    <w:p w:rsidR="008C4AC0" w:rsidRDefault="008C4AC0" w:rsidP="00467BB5">
      <w:pPr>
        <w:pStyle w:val="ListParagraph"/>
        <w:rPr>
          <w:b/>
        </w:rPr>
      </w:pPr>
    </w:p>
    <w:p w:rsidR="008C4AC0" w:rsidRDefault="008C4AC0" w:rsidP="00467BB5">
      <w:pPr>
        <w:pStyle w:val="ListParagraph"/>
        <w:rPr>
          <w:b/>
        </w:rPr>
      </w:pPr>
    </w:p>
    <w:p w:rsidR="008C4AC0" w:rsidRDefault="008C4AC0" w:rsidP="00467BB5">
      <w:pPr>
        <w:pStyle w:val="ListParagraph"/>
        <w:rPr>
          <w:b/>
        </w:rPr>
      </w:pPr>
    </w:p>
    <w:p w:rsidR="00665DA5" w:rsidRDefault="00665DA5" w:rsidP="00467BB5">
      <w:pPr>
        <w:pStyle w:val="ListParagraph"/>
        <w:rPr>
          <w:b/>
        </w:rPr>
      </w:pPr>
    </w:p>
    <w:p w:rsidR="008C4AC0" w:rsidRPr="00467BB5" w:rsidRDefault="008C4AC0" w:rsidP="00467BB5">
      <w:pPr>
        <w:pStyle w:val="ListParagraph"/>
        <w:rPr>
          <w:b/>
        </w:rPr>
      </w:pPr>
    </w:p>
    <w:p w:rsidR="00467BB5" w:rsidRPr="00467BB5" w:rsidRDefault="00467BB5" w:rsidP="00467BB5">
      <w:pPr>
        <w:pStyle w:val="ListParagraph"/>
        <w:numPr>
          <w:ilvl w:val="0"/>
          <w:numId w:val="3"/>
        </w:numPr>
        <w:rPr>
          <w:b/>
        </w:rPr>
      </w:pPr>
      <w:r w:rsidRPr="00467BB5">
        <w:rPr>
          <w:b/>
        </w:rPr>
        <w:lastRenderedPageBreak/>
        <w:t>Be at risk of serious harm when walking; or pose, when walking, a risk of serious harm to any other person</w:t>
      </w:r>
    </w:p>
    <w:p w:rsidR="00575A01" w:rsidRPr="00575A01" w:rsidRDefault="00575A01" w:rsidP="00575A01">
      <w:pPr>
        <w:rPr>
          <w:b/>
        </w:rPr>
      </w:pPr>
    </w:p>
    <w:p w:rsidR="00575A01" w:rsidRDefault="007E6FBF" w:rsidP="009C6CCD">
      <w:r>
        <w:t>A risk of serious harm to self/others could manifest as one or more of the following behaviours</w:t>
      </w:r>
      <w:r w:rsidR="00450DB1">
        <w:t xml:space="preserve"> in the context of walking between a parked vehicle and a destination</w:t>
      </w:r>
      <w:r>
        <w:t>:</w:t>
      </w:r>
      <w:r w:rsidR="002176EB">
        <w:t>-</w:t>
      </w:r>
    </w:p>
    <w:p w:rsidR="007E6FBF" w:rsidRPr="007E6FBF" w:rsidRDefault="007E6FBF" w:rsidP="007E6FBF">
      <w:pPr>
        <w:autoSpaceDE w:val="0"/>
        <w:autoSpaceDN w:val="0"/>
        <w:adjustRightInd w:val="0"/>
        <w:rPr>
          <w:rFonts w:ascii="Arial" w:hAnsi="Arial" w:cs="Arial"/>
          <w:color w:val="000000"/>
        </w:rPr>
      </w:pPr>
    </w:p>
    <w:p w:rsidR="007E6FBF" w:rsidRPr="007E6FBF" w:rsidRDefault="007E6FBF" w:rsidP="003D3C80">
      <w:pPr>
        <w:numPr>
          <w:ilvl w:val="0"/>
          <w:numId w:val="14"/>
        </w:numPr>
        <w:autoSpaceDE w:val="0"/>
        <w:autoSpaceDN w:val="0"/>
        <w:adjustRightInd w:val="0"/>
        <w:spacing w:after="156"/>
        <w:ind w:left="714" w:hanging="357"/>
        <w:rPr>
          <w:rFonts w:ascii="Arial" w:hAnsi="Arial" w:cs="Arial"/>
          <w:color w:val="000000"/>
        </w:rPr>
      </w:pPr>
      <w:r w:rsidRPr="007E6FBF">
        <w:rPr>
          <w:rFonts w:ascii="Arial" w:hAnsi="Arial" w:cs="Arial"/>
          <w:color w:val="000000"/>
        </w:rPr>
        <w:t xml:space="preserve">Becoming physically aggressive towards others, possibly without intent or awareness of the impact their actions may have; </w:t>
      </w:r>
    </w:p>
    <w:p w:rsidR="003D3C80" w:rsidRPr="003D3C80" w:rsidRDefault="007E6FBF" w:rsidP="003D3C80">
      <w:pPr>
        <w:numPr>
          <w:ilvl w:val="0"/>
          <w:numId w:val="14"/>
        </w:numPr>
        <w:autoSpaceDE w:val="0"/>
        <w:autoSpaceDN w:val="0"/>
        <w:adjustRightInd w:val="0"/>
        <w:spacing w:after="156"/>
        <w:ind w:left="714" w:hanging="357"/>
        <w:rPr>
          <w:rFonts w:ascii="Arial" w:hAnsi="Arial" w:cs="Arial"/>
          <w:color w:val="000000"/>
        </w:rPr>
      </w:pPr>
      <w:r w:rsidRPr="007E6FBF">
        <w:rPr>
          <w:rFonts w:ascii="Arial" w:hAnsi="Arial" w:cs="Arial"/>
          <w:color w:val="000000"/>
        </w:rPr>
        <w:t>Refusing to walk altogether, dropping to the floor or becoming a dead-weight;</w:t>
      </w:r>
    </w:p>
    <w:p w:rsidR="007E6FBF" w:rsidRPr="007E6FBF" w:rsidRDefault="007E6FBF" w:rsidP="003D3C80">
      <w:pPr>
        <w:numPr>
          <w:ilvl w:val="0"/>
          <w:numId w:val="14"/>
        </w:numPr>
        <w:autoSpaceDE w:val="0"/>
        <w:autoSpaceDN w:val="0"/>
        <w:adjustRightInd w:val="0"/>
        <w:spacing w:after="156"/>
        <w:ind w:left="714" w:hanging="357"/>
        <w:rPr>
          <w:rFonts w:ascii="Arial" w:hAnsi="Arial" w:cs="Arial"/>
        </w:rPr>
      </w:pPr>
      <w:r w:rsidRPr="007E6FBF">
        <w:rPr>
          <w:rFonts w:ascii="Arial" w:hAnsi="Arial" w:cs="Arial"/>
        </w:rPr>
        <w:t xml:space="preserve">Wandering off or running away, possibly without awareness of surroundings or their associated risks (e.g. nearby roads, car park environments); </w:t>
      </w:r>
    </w:p>
    <w:p w:rsidR="007E6FBF" w:rsidRPr="007E6FBF" w:rsidRDefault="007E6FBF" w:rsidP="003D3C80">
      <w:pPr>
        <w:numPr>
          <w:ilvl w:val="0"/>
          <w:numId w:val="14"/>
        </w:numPr>
        <w:autoSpaceDE w:val="0"/>
        <w:autoSpaceDN w:val="0"/>
        <w:adjustRightInd w:val="0"/>
        <w:spacing w:after="156"/>
        <w:ind w:left="714" w:hanging="357"/>
        <w:rPr>
          <w:rFonts w:ascii="Arial" w:hAnsi="Arial" w:cs="Arial"/>
        </w:rPr>
      </w:pPr>
      <w:r w:rsidRPr="007E6FBF">
        <w:rPr>
          <w:rFonts w:ascii="Arial" w:hAnsi="Arial" w:cs="Arial"/>
        </w:rPr>
        <w:t xml:space="preserve">Disobeying, ignoring and/or being unaware of clear instructions; </w:t>
      </w:r>
    </w:p>
    <w:p w:rsidR="007E6FBF" w:rsidRPr="007E6FBF" w:rsidRDefault="007E6FBF" w:rsidP="003D3C80">
      <w:pPr>
        <w:numPr>
          <w:ilvl w:val="0"/>
          <w:numId w:val="14"/>
        </w:numPr>
        <w:autoSpaceDE w:val="0"/>
        <w:autoSpaceDN w:val="0"/>
        <w:adjustRightInd w:val="0"/>
        <w:spacing w:after="156"/>
        <w:ind w:left="714" w:hanging="357"/>
        <w:rPr>
          <w:rFonts w:ascii="Arial" w:hAnsi="Arial" w:cs="Arial"/>
        </w:rPr>
      </w:pPr>
      <w:r w:rsidRPr="007E6FBF">
        <w:rPr>
          <w:rFonts w:ascii="Arial" w:hAnsi="Arial" w:cs="Arial"/>
        </w:rPr>
        <w:t xml:space="preserve">Experiencing very severe or overwhelming anxiety (e.g. through hypervigilance); </w:t>
      </w:r>
    </w:p>
    <w:p w:rsidR="007E6FBF" w:rsidRPr="007E6FBF" w:rsidRDefault="007E6FBF" w:rsidP="003D3C80">
      <w:pPr>
        <w:numPr>
          <w:ilvl w:val="0"/>
          <w:numId w:val="14"/>
        </w:numPr>
        <w:autoSpaceDE w:val="0"/>
        <w:autoSpaceDN w:val="0"/>
        <w:adjustRightInd w:val="0"/>
        <w:spacing w:after="156"/>
        <w:ind w:left="714" w:hanging="357"/>
        <w:rPr>
          <w:rFonts w:ascii="Arial" w:hAnsi="Arial" w:cs="Arial"/>
        </w:rPr>
      </w:pPr>
      <w:r w:rsidRPr="007E6FBF">
        <w:rPr>
          <w:rFonts w:ascii="Arial" w:hAnsi="Arial" w:cs="Arial"/>
        </w:rPr>
        <w:t xml:space="preserve">Experiencing an overwhelming sense of fear of public/open/busy spaces; </w:t>
      </w:r>
    </w:p>
    <w:p w:rsidR="007E6FBF" w:rsidRPr="007E6FBF" w:rsidRDefault="007E6FBF" w:rsidP="003D3C80">
      <w:pPr>
        <w:numPr>
          <w:ilvl w:val="0"/>
          <w:numId w:val="14"/>
        </w:numPr>
        <w:autoSpaceDE w:val="0"/>
        <w:autoSpaceDN w:val="0"/>
        <w:adjustRightInd w:val="0"/>
        <w:spacing w:after="156"/>
        <w:ind w:left="714" w:hanging="357"/>
        <w:rPr>
          <w:rFonts w:ascii="Arial" w:hAnsi="Arial" w:cs="Arial"/>
        </w:rPr>
      </w:pPr>
      <w:r w:rsidRPr="007E6FBF">
        <w:rPr>
          <w:rFonts w:ascii="Arial" w:hAnsi="Arial" w:cs="Arial"/>
        </w:rPr>
        <w:t xml:space="preserve">Experiencing serious harm or causing harm to others; </w:t>
      </w:r>
    </w:p>
    <w:p w:rsidR="007E6FBF" w:rsidRPr="007E6FBF" w:rsidRDefault="007E6FBF" w:rsidP="003D3C80">
      <w:pPr>
        <w:numPr>
          <w:ilvl w:val="0"/>
          <w:numId w:val="14"/>
        </w:numPr>
        <w:autoSpaceDE w:val="0"/>
        <w:autoSpaceDN w:val="0"/>
        <w:adjustRightInd w:val="0"/>
        <w:ind w:left="714" w:hanging="357"/>
        <w:rPr>
          <w:rFonts w:ascii="Arial" w:hAnsi="Arial" w:cs="Arial"/>
        </w:rPr>
      </w:pPr>
      <w:r w:rsidRPr="007E6FBF">
        <w:rPr>
          <w:rFonts w:ascii="Arial" w:hAnsi="Arial" w:cs="Arial"/>
        </w:rPr>
        <w:t xml:space="preserve">Avoiding some/all types of journeys due to the kinds of experiences listed above. </w:t>
      </w:r>
    </w:p>
    <w:p w:rsidR="007E6FBF" w:rsidRDefault="007E6FBF" w:rsidP="009C6CCD"/>
    <w:p w:rsidR="00702AE1" w:rsidRDefault="00702AE1" w:rsidP="007E6FBF">
      <w:pPr>
        <w:pStyle w:val="Default"/>
        <w:rPr>
          <w:rFonts w:ascii="Arial" w:hAnsi="Arial" w:cs="Arial"/>
        </w:rPr>
      </w:pPr>
      <w:r w:rsidRPr="007E6FBF">
        <w:rPr>
          <w:rFonts w:ascii="Arial" w:hAnsi="Arial" w:cs="Arial"/>
          <w:b/>
        </w:rPr>
        <w:t>Key points to note:-</w:t>
      </w:r>
    </w:p>
    <w:p w:rsidR="00702AE1" w:rsidRDefault="00702AE1" w:rsidP="007E6FBF">
      <w:pPr>
        <w:pStyle w:val="Default"/>
        <w:rPr>
          <w:rFonts w:ascii="Arial" w:hAnsi="Arial" w:cs="Arial"/>
        </w:rPr>
      </w:pPr>
    </w:p>
    <w:p w:rsidR="007E6FBF" w:rsidRDefault="007E6FBF" w:rsidP="00702AE1">
      <w:pPr>
        <w:pStyle w:val="Default"/>
        <w:numPr>
          <w:ilvl w:val="0"/>
          <w:numId w:val="17"/>
        </w:numPr>
        <w:rPr>
          <w:rFonts w:ascii="Arial" w:hAnsi="Arial" w:cs="Arial"/>
        </w:rPr>
      </w:pPr>
      <w:r w:rsidRPr="007E6FBF">
        <w:rPr>
          <w:rFonts w:ascii="Arial" w:hAnsi="Arial" w:cs="Arial"/>
        </w:rPr>
        <w:t>In this context it is recognised that some of the listed behaviours, as well as others, may be exhibited ordinarily by children who do not have any enduring or substantial disability. Local Authorities will need to consider the extent of any such behaviours and/or difficulties experienced by an applicant in relation to c</w:t>
      </w:r>
      <w:r>
        <w:rPr>
          <w:rFonts w:ascii="Arial" w:hAnsi="Arial" w:cs="Arial"/>
        </w:rPr>
        <w:t>ommon developmental milestones.</w:t>
      </w:r>
    </w:p>
    <w:p w:rsidR="00702AE1" w:rsidRDefault="00702AE1" w:rsidP="00702AE1">
      <w:pPr>
        <w:pStyle w:val="Default"/>
        <w:ind w:left="720"/>
        <w:rPr>
          <w:rFonts w:ascii="Arial" w:hAnsi="Arial" w:cs="Arial"/>
        </w:rPr>
      </w:pPr>
    </w:p>
    <w:p w:rsidR="00702AE1" w:rsidRDefault="00702AE1" w:rsidP="00702AE1">
      <w:pPr>
        <w:pStyle w:val="Default"/>
        <w:numPr>
          <w:ilvl w:val="0"/>
          <w:numId w:val="17"/>
        </w:numPr>
        <w:rPr>
          <w:rFonts w:ascii="Arial" w:hAnsi="Arial" w:cs="Arial"/>
        </w:rPr>
      </w:pPr>
      <w:r>
        <w:rPr>
          <w:rFonts w:ascii="Arial" w:hAnsi="Arial" w:cs="Arial"/>
        </w:rPr>
        <w:t xml:space="preserve">If such difficulties can be managed through reasonable coping strategies then a blue badge would not help an applicant. For example, where an applicant would only ever be accompanied by another person that would negate the ‘very considerable’ difficulty. </w:t>
      </w:r>
    </w:p>
    <w:p w:rsidR="00702AE1" w:rsidRDefault="00702AE1" w:rsidP="00702AE1">
      <w:pPr>
        <w:pStyle w:val="Default"/>
        <w:rPr>
          <w:rFonts w:ascii="Arial" w:hAnsi="Arial" w:cs="Arial"/>
        </w:rPr>
      </w:pPr>
    </w:p>
    <w:p w:rsidR="00702AE1" w:rsidRDefault="00702AE1" w:rsidP="00702AE1">
      <w:pPr>
        <w:pStyle w:val="Default"/>
        <w:numPr>
          <w:ilvl w:val="0"/>
          <w:numId w:val="17"/>
        </w:numPr>
        <w:rPr>
          <w:rFonts w:ascii="Arial" w:hAnsi="Arial" w:cs="Arial"/>
        </w:rPr>
      </w:pPr>
      <w:r>
        <w:rPr>
          <w:rFonts w:ascii="Arial" w:hAnsi="Arial" w:cs="Arial"/>
        </w:rPr>
        <w:t xml:space="preserve">If coping strategies are being adopted but require significant time to be invested on the part of the applicant this would not negate the ‘very considerable’ difficulty. </w:t>
      </w:r>
    </w:p>
    <w:p w:rsidR="002176EB" w:rsidRDefault="002176EB" w:rsidP="002176EB">
      <w:pPr>
        <w:pStyle w:val="ListParagraph"/>
        <w:rPr>
          <w:rFonts w:ascii="Arial" w:hAnsi="Arial" w:cs="Arial"/>
        </w:rPr>
      </w:pPr>
    </w:p>
    <w:p w:rsidR="002176EB" w:rsidRDefault="008C4AC0" w:rsidP="00702AE1">
      <w:pPr>
        <w:pStyle w:val="Default"/>
        <w:numPr>
          <w:ilvl w:val="0"/>
          <w:numId w:val="17"/>
        </w:numPr>
        <w:rPr>
          <w:rFonts w:ascii="Arial" w:hAnsi="Arial" w:cs="Arial"/>
        </w:rPr>
      </w:pPr>
      <w:r>
        <w:rPr>
          <w:rFonts w:ascii="Arial" w:hAnsi="Arial" w:cs="Arial"/>
        </w:rPr>
        <w:t>The frequency with which an applicant experiences very considerable difficulty whilst walking during the course of a journey should be ‘more often than not’</w:t>
      </w:r>
    </w:p>
    <w:p w:rsidR="007E6FBF" w:rsidRDefault="007E6FBF" w:rsidP="007E6FBF">
      <w:pPr>
        <w:pStyle w:val="Default"/>
        <w:rPr>
          <w:rFonts w:ascii="Arial" w:hAnsi="Arial" w:cs="Arial"/>
        </w:rPr>
      </w:pPr>
    </w:p>
    <w:p w:rsidR="007E6FBF" w:rsidRDefault="007E6FBF" w:rsidP="007E6FBF">
      <w:pPr>
        <w:pStyle w:val="Default"/>
        <w:rPr>
          <w:rFonts w:ascii="Arial" w:hAnsi="Arial" w:cs="Arial"/>
          <w:b/>
        </w:rPr>
      </w:pPr>
    </w:p>
    <w:p w:rsidR="007E6FBF" w:rsidRDefault="008C4AC0" w:rsidP="007E6FBF">
      <w:pPr>
        <w:pStyle w:val="Default"/>
        <w:rPr>
          <w:rFonts w:ascii="Arial" w:hAnsi="Arial" w:cs="Arial"/>
        </w:rPr>
      </w:pPr>
      <w:r>
        <w:rPr>
          <w:rFonts w:ascii="Arial" w:hAnsi="Arial" w:cs="Arial"/>
        </w:rPr>
        <w:t xml:space="preserve">A new application form will be available from 30 August 2019. </w:t>
      </w:r>
    </w:p>
    <w:p w:rsidR="00FE526C" w:rsidRDefault="00FE526C" w:rsidP="007E6FBF">
      <w:pPr>
        <w:pStyle w:val="Default"/>
        <w:rPr>
          <w:rFonts w:ascii="Arial" w:hAnsi="Arial" w:cs="Arial"/>
        </w:rPr>
      </w:pPr>
    </w:p>
    <w:p w:rsidR="00FE526C" w:rsidRDefault="00FE526C" w:rsidP="007E6FBF">
      <w:pPr>
        <w:pStyle w:val="Default"/>
        <w:rPr>
          <w:rFonts w:ascii="Arial" w:hAnsi="Arial" w:cs="Arial"/>
        </w:rPr>
      </w:pPr>
    </w:p>
    <w:p w:rsidR="00FE526C" w:rsidRDefault="000744DC" w:rsidP="007E6FBF">
      <w:pPr>
        <w:pStyle w:val="Default"/>
        <w:rPr>
          <w:rFonts w:ascii="Arial" w:hAnsi="Arial" w:cs="Arial"/>
        </w:rPr>
      </w:pPr>
      <w:r>
        <w:rPr>
          <w:rFonts w:ascii="Arial" w:hAnsi="Arial" w:cs="Arial"/>
        </w:rPr>
        <w:t>For</w:t>
      </w:r>
      <w:bookmarkStart w:id="0" w:name="_GoBack"/>
      <w:bookmarkEnd w:id="0"/>
      <w:r w:rsidR="00FE526C">
        <w:rPr>
          <w:rFonts w:ascii="Arial" w:hAnsi="Arial" w:cs="Arial"/>
        </w:rPr>
        <w:t xml:space="preserve"> further information please contact the Blue Badge team;</w:t>
      </w:r>
    </w:p>
    <w:p w:rsidR="00FE526C" w:rsidRDefault="00FE526C" w:rsidP="007E6FBF">
      <w:pPr>
        <w:pStyle w:val="Default"/>
        <w:rPr>
          <w:rFonts w:ascii="Arial" w:hAnsi="Arial" w:cs="Arial"/>
        </w:rPr>
      </w:pPr>
    </w:p>
    <w:p w:rsidR="00FE526C" w:rsidRDefault="00FE526C" w:rsidP="007E6FBF">
      <w:pPr>
        <w:pStyle w:val="Default"/>
        <w:rPr>
          <w:rFonts w:ascii="Arial" w:hAnsi="Arial" w:cs="Arial"/>
        </w:rPr>
      </w:pPr>
      <w:r>
        <w:rPr>
          <w:rFonts w:ascii="Arial" w:hAnsi="Arial" w:cs="Arial"/>
        </w:rPr>
        <w:t xml:space="preserve">Email – </w:t>
      </w:r>
      <w:hyperlink r:id="rId9" w:history="1">
        <w:r w:rsidRPr="007466F2">
          <w:rPr>
            <w:rStyle w:val="Hyperlink"/>
            <w:rFonts w:ascii="Arial" w:hAnsi="Arial" w:cs="Arial"/>
          </w:rPr>
          <w:t>bluebadges@westberks.gov.uk</w:t>
        </w:r>
      </w:hyperlink>
    </w:p>
    <w:p w:rsidR="00FE526C" w:rsidRDefault="00FE526C" w:rsidP="007E6FBF">
      <w:pPr>
        <w:pStyle w:val="Default"/>
        <w:rPr>
          <w:rFonts w:ascii="Arial" w:hAnsi="Arial" w:cs="Arial"/>
        </w:rPr>
      </w:pPr>
    </w:p>
    <w:p w:rsidR="00FE526C" w:rsidRDefault="00FE526C" w:rsidP="007E6FBF">
      <w:pPr>
        <w:pStyle w:val="Default"/>
        <w:rPr>
          <w:rFonts w:ascii="Arial" w:hAnsi="Arial" w:cs="Arial"/>
        </w:rPr>
      </w:pPr>
      <w:r>
        <w:rPr>
          <w:rFonts w:ascii="Arial" w:hAnsi="Arial" w:cs="Arial"/>
        </w:rPr>
        <w:t>By Post – Blue Badge Team, Council Offices, Market Street, Newbury, RG14 5LD</w:t>
      </w:r>
    </w:p>
    <w:p w:rsidR="00FE526C" w:rsidRDefault="00FE526C" w:rsidP="007E6FBF">
      <w:pPr>
        <w:pStyle w:val="Default"/>
        <w:rPr>
          <w:rFonts w:ascii="Arial" w:hAnsi="Arial" w:cs="Arial"/>
        </w:rPr>
      </w:pPr>
    </w:p>
    <w:p w:rsidR="00FE526C" w:rsidRPr="007E6FBF" w:rsidRDefault="00FE526C" w:rsidP="007E6FBF">
      <w:pPr>
        <w:pStyle w:val="Default"/>
        <w:rPr>
          <w:rFonts w:ascii="Arial" w:hAnsi="Arial" w:cs="Arial"/>
        </w:rPr>
      </w:pPr>
      <w:r>
        <w:rPr>
          <w:rFonts w:ascii="Arial" w:hAnsi="Arial" w:cs="Arial"/>
        </w:rPr>
        <w:t>Telephone – 01635 503276</w:t>
      </w:r>
    </w:p>
    <w:sectPr w:rsidR="00FE526C" w:rsidRPr="007E6FBF" w:rsidSect="003164F1">
      <w:pgSz w:w="11906" w:h="16838" w:code="9"/>
      <w:pgMar w:top="1134" w:right="1134"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96D" w:rsidRDefault="00EC596D" w:rsidP="00DD729D">
      <w:r>
        <w:separator/>
      </w:r>
    </w:p>
  </w:endnote>
  <w:endnote w:type="continuationSeparator" w:id="0">
    <w:p w:rsidR="00EC596D" w:rsidRDefault="00EC596D" w:rsidP="00DD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96D" w:rsidRDefault="00EC596D" w:rsidP="00DD729D">
      <w:r>
        <w:separator/>
      </w:r>
    </w:p>
  </w:footnote>
  <w:footnote w:type="continuationSeparator" w:id="0">
    <w:p w:rsidR="00EC596D" w:rsidRDefault="00EC596D" w:rsidP="00DD7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D02E81"/>
    <w:multiLevelType w:val="hybridMultilevel"/>
    <w:tmpl w:val="8A9449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58449E"/>
    <w:multiLevelType w:val="hybridMultilevel"/>
    <w:tmpl w:val="A03166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615B0A"/>
    <w:multiLevelType w:val="hybridMultilevel"/>
    <w:tmpl w:val="8B3944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0B3913F"/>
    <w:multiLevelType w:val="hybridMultilevel"/>
    <w:tmpl w:val="8ACC34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B33483A"/>
    <w:multiLevelType w:val="hybridMultilevel"/>
    <w:tmpl w:val="208315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E2D0119"/>
    <w:multiLevelType w:val="hybridMultilevel"/>
    <w:tmpl w:val="890A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6B2F"/>
    <w:multiLevelType w:val="hybridMultilevel"/>
    <w:tmpl w:val="C562E0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5C3BDF"/>
    <w:multiLevelType w:val="hybridMultilevel"/>
    <w:tmpl w:val="78BF96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E6948F0"/>
    <w:multiLevelType w:val="hybridMultilevel"/>
    <w:tmpl w:val="726031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E0ECB3"/>
    <w:multiLevelType w:val="hybridMultilevel"/>
    <w:tmpl w:val="0C0517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CA00D3"/>
    <w:multiLevelType w:val="hybridMultilevel"/>
    <w:tmpl w:val="5888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A2A162"/>
    <w:multiLevelType w:val="hybridMultilevel"/>
    <w:tmpl w:val="856BEE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3B90147"/>
    <w:multiLevelType w:val="hybridMultilevel"/>
    <w:tmpl w:val="7C34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566216"/>
    <w:multiLevelType w:val="hybridMultilevel"/>
    <w:tmpl w:val="3F24D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769061"/>
    <w:multiLevelType w:val="hybridMultilevel"/>
    <w:tmpl w:val="20B7F6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9C803DB"/>
    <w:multiLevelType w:val="hybridMultilevel"/>
    <w:tmpl w:val="023638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F8AE02"/>
    <w:multiLevelType w:val="hybridMultilevel"/>
    <w:tmpl w:val="9FABC8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0"/>
  </w:num>
  <w:num w:numId="3">
    <w:abstractNumId w:val="8"/>
  </w:num>
  <w:num w:numId="4">
    <w:abstractNumId w:val="12"/>
  </w:num>
  <w:num w:numId="5">
    <w:abstractNumId w:val="3"/>
  </w:num>
  <w:num w:numId="6">
    <w:abstractNumId w:val="16"/>
  </w:num>
  <w:num w:numId="7">
    <w:abstractNumId w:val="6"/>
  </w:num>
  <w:num w:numId="8">
    <w:abstractNumId w:val="0"/>
  </w:num>
  <w:num w:numId="9">
    <w:abstractNumId w:val="14"/>
  </w:num>
  <w:num w:numId="10">
    <w:abstractNumId w:val="1"/>
  </w:num>
  <w:num w:numId="11">
    <w:abstractNumId w:val="7"/>
  </w:num>
  <w:num w:numId="12">
    <w:abstractNumId w:val="9"/>
  </w:num>
  <w:num w:numId="13">
    <w:abstractNumId w:val="2"/>
  </w:num>
  <w:num w:numId="14">
    <w:abstractNumId w:val="13"/>
  </w:num>
  <w:num w:numId="15">
    <w:abstractNumId w:val="11"/>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57"/>
    <w:rsid w:val="00002282"/>
    <w:rsid w:val="0000403B"/>
    <w:rsid w:val="0005505D"/>
    <w:rsid w:val="0005636B"/>
    <w:rsid w:val="000672F1"/>
    <w:rsid w:val="000744DC"/>
    <w:rsid w:val="00094383"/>
    <w:rsid w:val="00096DD1"/>
    <w:rsid w:val="000A046A"/>
    <w:rsid w:val="000A1B96"/>
    <w:rsid w:val="000C3B61"/>
    <w:rsid w:val="000D3A3B"/>
    <w:rsid w:val="00110F1F"/>
    <w:rsid w:val="00124F53"/>
    <w:rsid w:val="001264C3"/>
    <w:rsid w:val="00155590"/>
    <w:rsid w:val="00184284"/>
    <w:rsid w:val="001A2479"/>
    <w:rsid w:val="001B2EB1"/>
    <w:rsid w:val="002176EB"/>
    <w:rsid w:val="00240AFB"/>
    <w:rsid w:val="00244458"/>
    <w:rsid w:val="00251DF3"/>
    <w:rsid w:val="00270020"/>
    <w:rsid w:val="0029735E"/>
    <w:rsid w:val="002B5D8C"/>
    <w:rsid w:val="0030120A"/>
    <w:rsid w:val="00313962"/>
    <w:rsid w:val="003164F1"/>
    <w:rsid w:val="00334CEE"/>
    <w:rsid w:val="003D296C"/>
    <w:rsid w:val="003D3C80"/>
    <w:rsid w:val="003D4F26"/>
    <w:rsid w:val="00406634"/>
    <w:rsid w:val="00406F2A"/>
    <w:rsid w:val="00410A7B"/>
    <w:rsid w:val="00434BFE"/>
    <w:rsid w:val="00450DB1"/>
    <w:rsid w:val="00463159"/>
    <w:rsid w:val="0046713F"/>
    <w:rsid w:val="00467BB5"/>
    <w:rsid w:val="004875D5"/>
    <w:rsid w:val="00496883"/>
    <w:rsid w:val="00497CAD"/>
    <w:rsid w:val="004D6E4F"/>
    <w:rsid w:val="004F56FE"/>
    <w:rsid w:val="005072E1"/>
    <w:rsid w:val="005152D0"/>
    <w:rsid w:val="00573538"/>
    <w:rsid w:val="00575A01"/>
    <w:rsid w:val="00581B3D"/>
    <w:rsid w:val="005C69B0"/>
    <w:rsid w:val="005E3DC5"/>
    <w:rsid w:val="005F310E"/>
    <w:rsid w:val="00611DDC"/>
    <w:rsid w:val="0064587A"/>
    <w:rsid w:val="006463F6"/>
    <w:rsid w:val="00655863"/>
    <w:rsid w:val="00655A9C"/>
    <w:rsid w:val="00662057"/>
    <w:rsid w:val="00665DA5"/>
    <w:rsid w:val="006801C2"/>
    <w:rsid w:val="006829F3"/>
    <w:rsid w:val="00686C83"/>
    <w:rsid w:val="006B3BB4"/>
    <w:rsid w:val="006D3CB8"/>
    <w:rsid w:val="00702AE1"/>
    <w:rsid w:val="00733913"/>
    <w:rsid w:val="0074265C"/>
    <w:rsid w:val="007D0DED"/>
    <w:rsid w:val="007E6FBF"/>
    <w:rsid w:val="008032A1"/>
    <w:rsid w:val="00804020"/>
    <w:rsid w:val="00833AD5"/>
    <w:rsid w:val="008423FF"/>
    <w:rsid w:val="00856F67"/>
    <w:rsid w:val="008850F9"/>
    <w:rsid w:val="008C4AC0"/>
    <w:rsid w:val="008D6BDA"/>
    <w:rsid w:val="008F691B"/>
    <w:rsid w:val="0090499A"/>
    <w:rsid w:val="00916861"/>
    <w:rsid w:val="009464F6"/>
    <w:rsid w:val="00953CF2"/>
    <w:rsid w:val="009719A1"/>
    <w:rsid w:val="009C2CBF"/>
    <w:rsid w:val="009C6CCD"/>
    <w:rsid w:val="009D0A4C"/>
    <w:rsid w:val="009E1E04"/>
    <w:rsid w:val="00A1337A"/>
    <w:rsid w:val="00A13EFC"/>
    <w:rsid w:val="00A42C67"/>
    <w:rsid w:val="00A8050F"/>
    <w:rsid w:val="00AD6A56"/>
    <w:rsid w:val="00AD7765"/>
    <w:rsid w:val="00AE2793"/>
    <w:rsid w:val="00B17C7A"/>
    <w:rsid w:val="00B342D5"/>
    <w:rsid w:val="00B36000"/>
    <w:rsid w:val="00B36095"/>
    <w:rsid w:val="00B42AE0"/>
    <w:rsid w:val="00BA39BA"/>
    <w:rsid w:val="00BA5B2C"/>
    <w:rsid w:val="00BB14A6"/>
    <w:rsid w:val="00BB2A10"/>
    <w:rsid w:val="00C33615"/>
    <w:rsid w:val="00C90C0D"/>
    <w:rsid w:val="00C926A3"/>
    <w:rsid w:val="00CA0320"/>
    <w:rsid w:val="00CA0E8D"/>
    <w:rsid w:val="00CA5366"/>
    <w:rsid w:val="00CA713A"/>
    <w:rsid w:val="00CB5FF5"/>
    <w:rsid w:val="00CC2EB0"/>
    <w:rsid w:val="00CC59AD"/>
    <w:rsid w:val="00CC6F6B"/>
    <w:rsid w:val="00CD56E1"/>
    <w:rsid w:val="00CE5521"/>
    <w:rsid w:val="00D154FC"/>
    <w:rsid w:val="00D520EA"/>
    <w:rsid w:val="00D57375"/>
    <w:rsid w:val="00D87D9F"/>
    <w:rsid w:val="00D9735A"/>
    <w:rsid w:val="00DA0341"/>
    <w:rsid w:val="00DD729D"/>
    <w:rsid w:val="00E01052"/>
    <w:rsid w:val="00E13B55"/>
    <w:rsid w:val="00E1534F"/>
    <w:rsid w:val="00E208A0"/>
    <w:rsid w:val="00E24490"/>
    <w:rsid w:val="00E67C31"/>
    <w:rsid w:val="00E72499"/>
    <w:rsid w:val="00E753E9"/>
    <w:rsid w:val="00E76601"/>
    <w:rsid w:val="00EC596D"/>
    <w:rsid w:val="00ED59B7"/>
    <w:rsid w:val="00F20AD7"/>
    <w:rsid w:val="00F312AA"/>
    <w:rsid w:val="00F36945"/>
    <w:rsid w:val="00F63CF9"/>
    <w:rsid w:val="00F65575"/>
    <w:rsid w:val="00FA5991"/>
    <w:rsid w:val="00FB0596"/>
    <w:rsid w:val="00FB54B1"/>
    <w:rsid w:val="00FC4F67"/>
    <w:rsid w:val="00FD4EE1"/>
    <w:rsid w:val="00FE1D7D"/>
    <w:rsid w:val="00FE5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ECF0E-4D22-4177-AEF8-4C2206CA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D8C"/>
    <w:rPr>
      <w:sz w:val="24"/>
      <w:szCs w:val="24"/>
    </w:rPr>
  </w:style>
  <w:style w:type="paragraph" w:styleId="Heading1">
    <w:name w:val="heading 1"/>
    <w:basedOn w:val="Normal"/>
    <w:next w:val="Normal"/>
    <w:link w:val="Heading1Char"/>
    <w:uiPriority w:val="9"/>
    <w:qFormat/>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5D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5D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5D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5D8C"/>
    <w:pPr>
      <w:spacing w:before="240" w:after="60"/>
      <w:outlineLvl w:val="6"/>
    </w:pPr>
  </w:style>
  <w:style w:type="paragraph" w:styleId="Heading8">
    <w:name w:val="heading 8"/>
    <w:basedOn w:val="Normal"/>
    <w:next w:val="Normal"/>
    <w:link w:val="Heading8Char"/>
    <w:uiPriority w:val="9"/>
    <w:semiHidden/>
    <w:unhideWhenUsed/>
    <w:qFormat/>
    <w:rsid w:val="002B5D8C"/>
    <w:pPr>
      <w:spacing w:before="240" w:after="60"/>
      <w:outlineLvl w:val="7"/>
    </w:pPr>
    <w:rPr>
      <w:i/>
      <w:iCs/>
    </w:rPr>
  </w:style>
  <w:style w:type="paragraph" w:styleId="Heading9">
    <w:name w:val="heading 9"/>
    <w:basedOn w:val="Normal"/>
    <w:next w:val="Normal"/>
    <w:link w:val="Heading9Char"/>
    <w:uiPriority w:val="9"/>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5D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5D8C"/>
    <w:rPr>
      <w:b/>
      <w:bCs/>
      <w:sz w:val="28"/>
      <w:szCs w:val="28"/>
    </w:rPr>
  </w:style>
  <w:style w:type="character" w:customStyle="1" w:styleId="Heading5Char">
    <w:name w:val="Heading 5 Char"/>
    <w:basedOn w:val="DefaultParagraphFont"/>
    <w:link w:val="Heading5"/>
    <w:uiPriority w:val="9"/>
    <w:semiHidden/>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uiPriority w:val="10"/>
    <w:qFormat/>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qFormat/>
    <w:rsid w:val="002B5D8C"/>
    <w:rPr>
      <w:b/>
      <w:bCs/>
    </w:rPr>
  </w:style>
  <w:style w:type="character" w:styleId="Emphasis">
    <w:name w:val="Emphasis"/>
    <w:basedOn w:val="DefaultParagraphFont"/>
    <w:uiPriority w:val="20"/>
    <w:qFormat/>
    <w:rsid w:val="002B5D8C"/>
    <w:rPr>
      <w:rFonts w:asciiTheme="minorHAnsi" w:hAnsiTheme="minorHAnsi"/>
      <w:b/>
      <w:i/>
      <w:iCs/>
    </w:rPr>
  </w:style>
  <w:style w:type="paragraph" w:styleId="NoSpacing">
    <w:name w:val="No Spacing"/>
    <w:basedOn w:val="Normal"/>
    <w:uiPriority w:val="1"/>
    <w:qFormat/>
    <w:rsid w:val="002B5D8C"/>
    <w:rPr>
      <w:szCs w:val="32"/>
    </w:rPr>
  </w:style>
  <w:style w:type="paragraph" w:styleId="ListParagraph">
    <w:name w:val="List Paragraph"/>
    <w:basedOn w:val="Normal"/>
    <w:uiPriority w:val="34"/>
    <w:qFormat/>
    <w:rsid w:val="002B5D8C"/>
    <w:pPr>
      <w:ind w:left="720"/>
      <w:contextualSpacing/>
    </w:pPr>
  </w:style>
  <w:style w:type="paragraph" w:styleId="Quote">
    <w:name w:val="Quote"/>
    <w:basedOn w:val="Normal"/>
    <w:next w:val="Normal"/>
    <w:link w:val="QuoteChar"/>
    <w:uiPriority w:val="29"/>
    <w:qFormat/>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qFormat/>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qFormat/>
    <w:rsid w:val="002B5D8C"/>
    <w:rPr>
      <w:i/>
      <w:color w:val="5A5A5A" w:themeColor="text1" w:themeTint="A5"/>
    </w:rPr>
  </w:style>
  <w:style w:type="character" w:styleId="IntenseEmphasis">
    <w:name w:val="Intense Emphasis"/>
    <w:basedOn w:val="DefaultParagraphFont"/>
    <w:uiPriority w:val="21"/>
    <w:qFormat/>
    <w:rsid w:val="002B5D8C"/>
    <w:rPr>
      <w:b/>
      <w:i/>
      <w:sz w:val="24"/>
      <w:szCs w:val="24"/>
      <w:u w:val="single"/>
    </w:rPr>
  </w:style>
  <w:style w:type="character" w:styleId="SubtleReference">
    <w:name w:val="Subtle Reference"/>
    <w:basedOn w:val="DefaultParagraphFont"/>
    <w:uiPriority w:val="31"/>
    <w:qFormat/>
    <w:rsid w:val="002B5D8C"/>
    <w:rPr>
      <w:sz w:val="24"/>
      <w:szCs w:val="24"/>
      <w:u w:val="single"/>
    </w:rPr>
  </w:style>
  <w:style w:type="character" w:styleId="IntenseReference">
    <w:name w:val="Intense Reference"/>
    <w:basedOn w:val="DefaultParagraphFont"/>
    <w:uiPriority w:val="32"/>
    <w:qFormat/>
    <w:rsid w:val="002B5D8C"/>
    <w:rPr>
      <w:b/>
      <w:sz w:val="24"/>
      <w:u w:val="single"/>
    </w:rPr>
  </w:style>
  <w:style w:type="character" w:styleId="BookTitle">
    <w:name w:val="Book Title"/>
    <w:basedOn w:val="DefaultParagraphFont"/>
    <w:uiPriority w:val="33"/>
    <w:qFormat/>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Default">
    <w:name w:val="Default"/>
    <w:rsid w:val="00467BB5"/>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DD729D"/>
    <w:rPr>
      <w:color w:val="0563C1" w:themeColor="hyperlink"/>
      <w:u w:val="single"/>
    </w:rPr>
  </w:style>
  <w:style w:type="paragraph" w:styleId="Header">
    <w:name w:val="header"/>
    <w:basedOn w:val="Normal"/>
    <w:link w:val="HeaderChar"/>
    <w:uiPriority w:val="99"/>
    <w:unhideWhenUsed/>
    <w:rsid w:val="00DD729D"/>
    <w:pPr>
      <w:tabs>
        <w:tab w:val="center" w:pos="4513"/>
        <w:tab w:val="right" w:pos="9026"/>
      </w:tabs>
    </w:pPr>
  </w:style>
  <w:style w:type="character" w:customStyle="1" w:styleId="HeaderChar">
    <w:name w:val="Header Char"/>
    <w:basedOn w:val="DefaultParagraphFont"/>
    <w:link w:val="Header"/>
    <w:uiPriority w:val="99"/>
    <w:rsid w:val="00DD729D"/>
    <w:rPr>
      <w:sz w:val="24"/>
      <w:szCs w:val="24"/>
    </w:rPr>
  </w:style>
  <w:style w:type="paragraph" w:styleId="Footer">
    <w:name w:val="footer"/>
    <w:basedOn w:val="Normal"/>
    <w:link w:val="FooterChar"/>
    <w:uiPriority w:val="99"/>
    <w:unhideWhenUsed/>
    <w:rsid w:val="00DD729D"/>
    <w:pPr>
      <w:tabs>
        <w:tab w:val="center" w:pos="4513"/>
        <w:tab w:val="right" w:pos="9026"/>
      </w:tabs>
    </w:pPr>
  </w:style>
  <w:style w:type="character" w:customStyle="1" w:styleId="FooterChar">
    <w:name w:val="Footer Char"/>
    <w:basedOn w:val="DefaultParagraphFont"/>
    <w:link w:val="Footer"/>
    <w:uiPriority w:val="99"/>
    <w:rsid w:val="00DD72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blue-badge-scheme-local-authority-guidance-england"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luebadges@westberk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3</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Martinez</dc:creator>
  <cp:keywords/>
  <dc:description/>
  <cp:lastModifiedBy>Ian Martinez</cp:lastModifiedBy>
  <cp:revision>8</cp:revision>
  <dcterms:created xsi:type="dcterms:W3CDTF">2019-06-20T11:04:00Z</dcterms:created>
  <dcterms:modified xsi:type="dcterms:W3CDTF">2019-07-08T15:26:00Z</dcterms:modified>
</cp:coreProperties>
</file>